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23291D" w:rsidP="00770C74">
            <w:pPr>
              <w:spacing w:before="40"/>
              <w:rPr>
                <w:rFonts w:ascii="Tahoma" w:hAnsi="Tahoma" w:cs="Tahoma"/>
                <w:sz w:val="20"/>
                <w:szCs w:val="20"/>
              </w:rPr>
            </w:pPr>
            <w:r>
              <w:rPr>
                <w:rFonts w:ascii="Tahoma" w:hAnsi="Tahoma" w:cs="Tahoma"/>
                <w:sz w:val="20"/>
                <w:szCs w:val="20"/>
              </w:rPr>
              <w:t>43001-35</w:t>
            </w:r>
            <w:r w:rsidR="008C0C72">
              <w:rPr>
                <w:rFonts w:ascii="Tahoma" w:hAnsi="Tahoma" w:cs="Tahoma"/>
                <w:sz w:val="20"/>
                <w:szCs w:val="20"/>
              </w:rPr>
              <w:t>2</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8C0C72" w:rsidP="0023291D">
            <w:pPr>
              <w:spacing w:before="40"/>
              <w:rPr>
                <w:rFonts w:ascii="Tahoma" w:hAnsi="Tahoma" w:cs="Tahoma"/>
                <w:sz w:val="20"/>
                <w:szCs w:val="20"/>
              </w:rPr>
            </w:pPr>
            <w:r>
              <w:rPr>
                <w:rFonts w:ascii="Tahoma" w:hAnsi="Tahoma" w:cs="Tahoma"/>
                <w:sz w:val="20"/>
                <w:szCs w:val="20"/>
              </w:rPr>
              <w:t>A-157</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912E93" w:rsidP="00912E93">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8C0C72" w:rsidP="003560E2">
            <w:pPr>
              <w:spacing w:before="40"/>
              <w:rPr>
                <w:rFonts w:ascii="Tahoma" w:hAnsi="Tahoma" w:cs="Tahoma"/>
                <w:sz w:val="20"/>
                <w:szCs w:val="20"/>
              </w:rPr>
            </w:pPr>
            <w:r>
              <w:rPr>
                <w:rFonts w:ascii="Tahoma" w:hAnsi="Tahoma" w:cs="Tahoma"/>
                <w:sz w:val="20"/>
                <w:szCs w:val="20"/>
              </w:rPr>
              <w:t>2431-21-001323</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7E50A2">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8C0C72">
              <w:rPr>
                <w:rFonts w:ascii="Tahoma" w:hAnsi="Tahoma" w:cs="Tahoma"/>
                <w:b/>
                <w:sz w:val="20"/>
                <w:szCs w:val="20"/>
              </w:rPr>
              <w:t>4</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8C0C72">
        <w:rPr>
          <w:rFonts w:ascii="Tahoma" w:hAnsi="Tahoma" w:cs="Tahoma"/>
          <w:b/>
          <w:color w:val="333333"/>
          <w:sz w:val="20"/>
          <w:szCs w:val="20"/>
          <w:lang w:eastAsia="sl-SI"/>
        </w:rPr>
        <w:t>5/2021-B01 - A-157</w:t>
      </w:r>
      <w:r w:rsidR="00DB26E6" w:rsidRPr="00FF53C4">
        <w:rPr>
          <w:rFonts w:ascii="Tahoma" w:hAnsi="Tahoma" w:cs="Tahoma"/>
          <w:b/>
          <w:color w:val="333333"/>
          <w:sz w:val="20"/>
          <w:szCs w:val="20"/>
          <w:lang w:eastAsia="sl-SI"/>
        </w:rPr>
        <w:t>/21; datum objave: 06.</w:t>
      </w:r>
      <w:r w:rsidR="00831151">
        <w:rPr>
          <w:rFonts w:ascii="Tahoma" w:hAnsi="Tahoma" w:cs="Tahoma"/>
          <w:b/>
          <w:color w:val="333333"/>
          <w:sz w:val="20"/>
          <w:szCs w:val="20"/>
          <w:lang w:eastAsia="sl-SI"/>
        </w:rPr>
        <w:t>09</w:t>
      </w:r>
      <w:r w:rsidR="00DB26E6" w:rsidRPr="00FF53C4">
        <w:rPr>
          <w:rFonts w:ascii="Tahoma" w:hAnsi="Tahoma" w:cs="Tahoma"/>
          <w:b/>
          <w:color w:val="333333"/>
          <w:sz w:val="20"/>
          <w:szCs w:val="20"/>
          <w:lang w:eastAsia="sl-SI"/>
        </w:rPr>
        <w:t>.202</w:t>
      </w:r>
      <w:r w:rsidR="002125F7">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912E93" w:rsidRDefault="00912E93" w:rsidP="00912E93">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912E93" w:rsidRDefault="00912E93" w:rsidP="00912E93">
      <w:pPr>
        <w:widowControl w:val="0"/>
        <w:spacing w:before="60" w:line="254" w:lineRule="atLeast"/>
        <w:jc w:val="both"/>
        <w:rPr>
          <w:rFonts w:ascii="Tahoma" w:hAnsi="Tahoma" w:cs="Tahoma"/>
          <w:sz w:val="20"/>
          <w:szCs w:val="20"/>
        </w:rPr>
      </w:pPr>
    </w:p>
    <w:p w:rsidR="00E65DBB" w:rsidRDefault="00912E93" w:rsidP="00912E9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E65DBB" w:rsidRDefault="00912E93" w:rsidP="00912E9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E65DBB" w:rsidRDefault="00E65DBB" w:rsidP="00912E93">
      <w:pPr>
        <w:spacing w:after="240"/>
        <w:rPr>
          <w:rFonts w:asciiTheme="minorHAnsi" w:hAnsiTheme="minorHAnsi"/>
          <w:sz w:val="22"/>
        </w:rPr>
      </w:pPr>
    </w:p>
    <w:p w:rsidR="00E65DBB" w:rsidRDefault="00E65DBB" w:rsidP="00912E93">
      <w:pPr>
        <w:spacing w:after="240"/>
        <w:rPr>
          <w:rFonts w:asciiTheme="minorHAnsi" w:hAnsiTheme="minorHAnsi"/>
          <w:sz w:val="22"/>
        </w:rPr>
      </w:pPr>
    </w:p>
    <w:p w:rsidR="00E65DBB" w:rsidRDefault="00E65DBB" w:rsidP="00912E93">
      <w:pPr>
        <w:spacing w:after="240"/>
        <w:rPr>
          <w:rFonts w:asciiTheme="minorHAnsi" w:hAnsiTheme="minorHAnsi"/>
          <w:sz w:val="22"/>
        </w:rPr>
      </w:pPr>
    </w:p>
    <w:p w:rsidR="00E65DBB" w:rsidRDefault="00912E93" w:rsidP="00912E93">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E65DBB" w:rsidRDefault="00912E93" w:rsidP="00912E93">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E65DBB" w:rsidRDefault="00912E93" w:rsidP="00912E93">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912E93" w:rsidRPr="00732CAF" w:rsidRDefault="00912E93" w:rsidP="00912E9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E65DBB" w:rsidRDefault="00912E93" w:rsidP="00912E9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912E93" w:rsidRPr="00732CAF" w:rsidRDefault="00912E93" w:rsidP="00912E93">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912E93" w:rsidRDefault="00912E93" w:rsidP="00912E93">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E65DBB" w:rsidRDefault="00E65DBB" w:rsidP="00912E93">
      <w:pPr>
        <w:spacing w:after="240"/>
        <w:rPr>
          <w:rFonts w:asciiTheme="minorHAnsi" w:hAnsiTheme="minorHAnsi"/>
          <w:sz w:val="22"/>
          <w:highlight w:val="cyan"/>
        </w:rPr>
      </w:pPr>
    </w:p>
    <w:p w:rsidR="00E65DBB" w:rsidRDefault="00E65DBB" w:rsidP="00912E93">
      <w:pPr>
        <w:spacing w:after="240"/>
        <w:rPr>
          <w:rFonts w:asciiTheme="minorHAnsi" w:hAnsiTheme="minorHAnsi"/>
          <w:sz w:val="22"/>
          <w:highlight w:val="cyan"/>
        </w:rPr>
      </w:pPr>
    </w:p>
    <w:p w:rsidR="00E65DBB" w:rsidRPr="00732CAF" w:rsidRDefault="00E65DBB" w:rsidP="00912E93">
      <w:pPr>
        <w:spacing w:after="240"/>
        <w:rPr>
          <w:rFonts w:asciiTheme="minorHAnsi" w:hAnsiTheme="minorHAnsi"/>
          <w:sz w:val="22"/>
          <w:highlight w:val="cyan"/>
        </w:rPr>
      </w:pPr>
    </w:p>
    <w:p w:rsidR="00912E93" w:rsidRPr="00732CAF" w:rsidRDefault="00912E93" w:rsidP="00912E93">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912E93" w:rsidRPr="00732CAF" w:rsidRDefault="00912E93" w:rsidP="00912E9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E65DBB" w:rsidRDefault="00912E93" w:rsidP="00912E9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912E93" w:rsidRDefault="00912E93" w:rsidP="00912E9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E65DBB" w:rsidRPr="00732CAF" w:rsidRDefault="00E65DBB" w:rsidP="00912E93">
      <w:pPr>
        <w:spacing w:after="240"/>
        <w:rPr>
          <w:rFonts w:asciiTheme="minorHAnsi" w:hAnsiTheme="minorHAnsi"/>
          <w:sz w:val="22"/>
        </w:rPr>
      </w:pPr>
    </w:p>
    <w:p w:rsidR="00E65DBB" w:rsidRDefault="00912E93" w:rsidP="00912E93">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912E93" w:rsidRDefault="00912E93" w:rsidP="00912E9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E65DBB" w:rsidRPr="00732CAF" w:rsidRDefault="00E65DBB" w:rsidP="00912E93">
      <w:pPr>
        <w:spacing w:after="240"/>
        <w:rPr>
          <w:rFonts w:asciiTheme="minorHAnsi" w:hAnsiTheme="minorHAnsi"/>
          <w:strike/>
          <w:sz w:val="22"/>
        </w:rPr>
      </w:pPr>
    </w:p>
    <w:p w:rsidR="00912E93" w:rsidRPr="00732CAF" w:rsidRDefault="00912E93" w:rsidP="00912E93">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912E93" w:rsidRPr="00732CAF" w:rsidRDefault="00912E93" w:rsidP="00912E93">
      <w:pPr>
        <w:pStyle w:val="BodyText2"/>
        <w:jc w:val="left"/>
        <w:rPr>
          <w:rFonts w:asciiTheme="minorHAnsi" w:hAnsiTheme="minorHAnsi" w:cs="Tahoma"/>
          <w:b/>
          <w:sz w:val="22"/>
          <w:szCs w:val="22"/>
        </w:rPr>
      </w:pPr>
    </w:p>
    <w:p w:rsidR="00912E93" w:rsidRPr="00732CAF" w:rsidRDefault="00912E93" w:rsidP="00912E93">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912E93" w:rsidRDefault="00912E93" w:rsidP="00912E93">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E65DBB" w:rsidRDefault="00E65DBB" w:rsidP="00912E93">
      <w:pPr>
        <w:rPr>
          <w:rFonts w:asciiTheme="minorHAnsi" w:hAnsiTheme="minorHAnsi" w:cs="Tahoma"/>
          <w:sz w:val="22"/>
          <w:szCs w:val="22"/>
        </w:rPr>
      </w:pPr>
    </w:p>
    <w:p w:rsidR="00E65DBB" w:rsidRPr="00732CAF" w:rsidRDefault="00E65DBB" w:rsidP="00912E93">
      <w:pPr>
        <w:rPr>
          <w:rFonts w:asciiTheme="minorHAnsi" w:hAnsiTheme="minorHAnsi" w:cs="Tahoma"/>
          <w:sz w:val="22"/>
          <w:szCs w:val="22"/>
        </w:rPr>
      </w:pPr>
    </w:p>
    <w:p w:rsidR="00912E93" w:rsidRPr="00732CAF" w:rsidRDefault="00912E93" w:rsidP="00912E9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912E93" w:rsidRPr="00732CAF" w:rsidRDefault="00912E93" w:rsidP="00912E93">
      <w:pPr>
        <w:pStyle w:val="BodyText2"/>
        <w:jc w:val="left"/>
        <w:rPr>
          <w:rFonts w:asciiTheme="minorHAnsi" w:hAnsiTheme="minorHAnsi" w:cs="Tahoma"/>
          <w:b/>
          <w:sz w:val="22"/>
          <w:szCs w:val="22"/>
        </w:rPr>
      </w:pPr>
    </w:p>
    <w:p w:rsidR="00912E93" w:rsidRDefault="00912E93" w:rsidP="00912E93">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E65DBB" w:rsidRPr="00732CAF" w:rsidRDefault="00E65DBB" w:rsidP="00912E93">
      <w:pPr>
        <w:spacing w:after="240"/>
        <w:rPr>
          <w:rFonts w:asciiTheme="minorHAnsi" w:hAnsiTheme="minorHAnsi" w:cs="Tahoma"/>
          <w:sz w:val="22"/>
          <w:szCs w:val="22"/>
        </w:rPr>
      </w:pPr>
      <w:bookmarkStart w:id="0" w:name="_GoBack"/>
      <w:bookmarkEnd w:id="0"/>
    </w:p>
    <w:p w:rsidR="00912E93" w:rsidRPr="00732CAF" w:rsidRDefault="00912E93" w:rsidP="00912E9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w:t>
      </w:r>
      <w:r w:rsidRPr="00732CAF">
        <w:rPr>
          <w:rFonts w:asciiTheme="minorHAnsi" w:hAnsiTheme="minorHAnsi" w:cs="Tahoma"/>
          <w:color w:val="333333"/>
          <w:sz w:val="22"/>
          <w:szCs w:val="22"/>
          <w:shd w:val="clear" w:color="auto" w:fill="FFFFFF"/>
        </w:rPr>
        <w:lastRenderedPageBreak/>
        <w:t>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912E93" w:rsidRPr="00732CAF" w:rsidRDefault="00912E93" w:rsidP="00912E93">
      <w:pPr>
        <w:pStyle w:val="BodyText2"/>
        <w:jc w:val="left"/>
        <w:rPr>
          <w:rFonts w:asciiTheme="minorHAnsi" w:hAnsiTheme="minorHAnsi" w:cs="Tahoma"/>
          <w:b/>
          <w:sz w:val="22"/>
          <w:szCs w:val="22"/>
        </w:rPr>
      </w:pPr>
    </w:p>
    <w:p w:rsidR="00912E93" w:rsidRPr="00732CAF" w:rsidRDefault="00912E93" w:rsidP="00912E9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912E93" w:rsidRPr="00732CAF" w:rsidRDefault="00912E93" w:rsidP="00912E93">
      <w:pPr>
        <w:pStyle w:val="BodyText2"/>
        <w:widowControl w:val="0"/>
        <w:spacing w:line="254" w:lineRule="atLeast"/>
        <w:rPr>
          <w:rFonts w:asciiTheme="minorHAnsi" w:hAnsiTheme="minorHAnsi" w:cs="Tahoma"/>
          <w:b/>
          <w:sz w:val="22"/>
          <w:szCs w:val="22"/>
        </w:rPr>
      </w:pPr>
    </w:p>
    <w:p w:rsidR="00912E93" w:rsidRPr="00732CAF" w:rsidRDefault="00912E93" w:rsidP="00912E9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912E93" w:rsidRPr="00732CAF" w:rsidRDefault="00912E93" w:rsidP="00912E93">
      <w:pPr>
        <w:pStyle w:val="BodyText2"/>
        <w:jc w:val="left"/>
        <w:rPr>
          <w:rFonts w:asciiTheme="minorHAnsi" w:hAnsiTheme="minorHAnsi" w:cs="Tahoma"/>
          <w:b/>
          <w:sz w:val="22"/>
          <w:szCs w:val="22"/>
        </w:rPr>
      </w:pPr>
    </w:p>
    <w:p w:rsidR="00912E93" w:rsidRPr="00732CAF" w:rsidRDefault="00912E93" w:rsidP="00912E9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912E93" w:rsidRPr="00732CAF" w:rsidRDefault="00912E93" w:rsidP="00912E93">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912E93" w:rsidRDefault="00912E93" w:rsidP="00912E93">
      <w:pPr>
        <w:widowControl w:val="0"/>
        <w:spacing w:before="60" w:line="254" w:lineRule="atLeast"/>
        <w:jc w:val="both"/>
        <w:rPr>
          <w:rFonts w:ascii="Tahoma" w:hAnsi="Tahoma" w:cs="Tahoma"/>
          <w:sz w:val="20"/>
          <w:szCs w:val="20"/>
        </w:rPr>
      </w:pPr>
    </w:p>
    <w:p w:rsidR="00E813F4" w:rsidRPr="00DB26E6" w:rsidRDefault="00E813F4" w:rsidP="00E813F4">
      <w:pPr>
        <w:pStyle w:val="EndnoteText"/>
        <w:jc w:val="both"/>
        <w:rPr>
          <w:rFonts w:ascii="Tahoma" w:hAnsi="Tahoma" w:cs="Tahoma"/>
          <w:szCs w:val="20"/>
        </w:rPr>
      </w:pPr>
    </w:p>
    <w:p w:rsidR="00E813F4" w:rsidRPr="00DB26E6" w:rsidRDefault="00E813F4" w:rsidP="00E813F4">
      <w:pPr>
        <w:pStyle w:val="EndnoteText"/>
        <w:jc w:val="both"/>
        <w:rPr>
          <w:rFonts w:ascii="Tahoma" w:hAnsi="Tahoma" w:cs="Tahoma"/>
          <w:szCs w:val="20"/>
        </w:rPr>
      </w:pPr>
    </w:p>
    <w:p w:rsidR="00556816" w:rsidRPr="00DB26E6" w:rsidRDefault="00556816">
      <w:pPr>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65DBB">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65DBB">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303D5"/>
    <w:rsid w:val="000646A9"/>
    <w:rsid w:val="00130AC7"/>
    <w:rsid w:val="001836BB"/>
    <w:rsid w:val="002125F7"/>
    <w:rsid w:val="00216549"/>
    <w:rsid w:val="0023291D"/>
    <w:rsid w:val="002507C2"/>
    <w:rsid w:val="00290551"/>
    <w:rsid w:val="003133A6"/>
    <w:rsid w:val="003560E2"/>
    <w:rsid w:val="003579C0"/>
    <w:rsid w:val="003B7702"/>
    <w:rsid w:val="00424A5A"/>
    <w:rsid w:val="0044323F"/>
    <w:rsid w:val="00490E11"/>
    <w:rsid w:val="004B34B5"/>
    <w:rsid w:val="00556816"/>
    <w:rsid w:val="00634B0D"/>
    <w:rsid w:val="00637BE6"/>
    <w:rsid w:val="00770C74"/>
    <w:rsid w:val="007E50A2"/>
    <w:rsid w:val="00831151"/>
    <w:rsid w:val="008C0C72"/>
    <w:rsid w:val="00912E93"/>
    <w:rsid w:val="009B1FD9"/>
    <w:rsid w:val="00A05C73"/>
    <w:rsid w:val="00A17575"/>
    <w:rsid w:val="00AD3747"/>
    <w:rsid w:val="00DB26E6"/>
    <w:rsid w:val="00DB7CDA"/>
    <w:rsid w:val="00DC371E"/>
    <w:rsid w:val="00E51016"/>
    <w:rsid w:val="00E65DBB"/>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4A668B"/>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6</Pages>
  <Words>1786</Words>
  <Characters>10255</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2021-09-07T15:19:00Z</cp:lastPrinted>
  <dcterms:created xsi:type="dcterms:W3CDTF">2021-10-06T08:09:00Z</dcterms:created>
  <dcterms:modified xsi:type="dcterms:W3CDTF">2021-10-06T11:28:00Z</dcterms:modified>
</cp:coreProperties>
</file>